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A8" w:rsidRDefault="00137C12" w:rsidP="00137C12">
      <w:pPr>
        <w:snapToGrid w:val="0"/>
        <w:spacing w:line="240" w:lineRule="atLeast"/>
        <w:ind w:left="561" w:hanging="845"/>
        <w:jc w:val="center"/>
        <w:rPr>
          <w:rFonts w:ascii="Book Antiqua" w:eastAsia="標楷體" w:hAnsi="標楷體"/>
          <w:b/>
          <w:kern w:val="2"/>
          <w:sz w:val="28"/>
        </w:rPr>
      </w:pPr>
      <w:bookmarkStart w:id="0" w:name="_GoBack"/>
      <w:bookmarkEnd w:id="0"/>
      <w:r>
        <w:rPr>
          <w:rFonts w:ascii="Book Antiqua" w:eastAsia="標楷體" w:hAnsi="Book Antiqua" w:hint="eastAsia"/>
          <w:b/>
          <w:kern w:val="2"/>
          <w:sz w:val="28"/>
        </w:rPr>
        <w:t>桃園市</w:t>
      </w:r>
      <w:r w:rsidRPr="00137C12">
        <w:rPr>
          <w:rFonts w:ascii="Book Antiqua" w:eastAsia="標楷體" w:hAnsi="Book Antiqua" w:hint="eastAsia"/>
          <w:b/>
          <w:kern w:val="2"/>
          <w:sz w:val="28"/>
        </w:rPr>
        <w:t>高級中等以下學校</w:t>
      </w:r>
      <w:r w:rsidRPr="00377823">
        <w:rPr>
          <w:rFonts w:ascii="Book Antiqua" w:eastAsia="標楷體" w:hAnsi="標楷體"/>
          <w:b/>
          <w:kern w:val="2"/>
          <w:sz w:val="28"/>
        </w:rPr>
        <w:t>資賦優異學生縮短修業年限</w:t>
      </w:r>
      <w:r w:rsidR="00302862">
        <w:rPr>
          <w:rFonts w:ascii="Book Antiqua" w:eastAsia="標楷體" w:hAnsi="標楷體" w:hint="eastAsia"/>
          <w:b/>
          <w:kern w:val="2"/>
          <w:sz w:val="28"/>
        </w:rPr>
        <w:t>實施</w:t>
      </w:r>
      <w:r w:rsidRPr="00377823">
        <w:rPr>
          <w:rFonts w:ascii="Book Antiqua" w:eastAsia="標楷體" w:hAnsi="標楷體"/>
          <w:b/>
          <w:kern w:val="2"/>
          <w:sz w:val="28"/>
        </w:rPr>
        <w:t>方式</w:t>
      </w:r>
    </w:p>
    <w:p w:rsidR="00137C12" w:rsidRPr="0035582D" w:rsidRDefault="0035582D" w:rsidP="009827C9">
      <w:pPr>
        <w:wordWrap w:val="0"/>
        <w:snapToGrid w:val="0"/>
        <w:spacing w:line="240" w:lineRule="atLeast"/>
        <w:ind w:left="561" w:right="960" w:hanging="845"/>
        <w:jc w:val="right"/>
        <w:rPr>
          <w:rFonts w:ascii="Book Antiqua" w:eastAsia="標楷體" w:hAnsi="Book Antiqua"/>
          <w:kern w:val="2"/>
        </w:rPr>
      </w:pPr>
      <w:r>
        <w:rPr>
          <w:rFonts w:ascii="Book Antiqua" w:eastAsia="標楷體" w:hAnsi="Book Antiqua" w:hint="eastAsia"/>
          <w:kern w:val="2"/>
        </w:rPr>
        <w:t>桃</w:t>
      </w:r>
      <w:r w:rsidR="00857528">
        <w:rPr>
          <w:rFonts w:ascii="Book Antiqua" w:eastAsia="標楷體" w:hAnsi="Book Antiqua" w:hint="eastAsia"/>
          <w:kern w:val="2"/>
        </w:rPr>
        <w:t>教</w:t>
      </w:r>
      <w:r>
        <w:rPr>
          <w:rFonts w:ascii="Book Antiqua" w:eastAsia="標楷體" w:hAnsi="Book Antiqua" w:hint="eastAsia"/>
          <w:kern w:val="2"/>
        </w:rPr>
        <w:t>特字第</w:t>
      </w:r>
      <w:r w:rsidR="00831A31">
        <w:rPr>
          <w:rFonts w:ascii="Book Antiqua" w:eastAsia="標楷體" w:hAnsi="Book Antiqua" w:hint="eastAsia"/>
          <w:kern w:val="2"/>
        </w:rPr>
        <w:t>1100049715</w:t>
      </w:r>
      <w:r>
        <w:rPr>
          <w:rFonts w:ascii="Book Antiqua" w:eastAsia="標楷體" w:hAnsi="Book Antiqua" w:hint="eastAsia"/>
          <w:kern w:val="2"/>
        </w:rPr>
        <w:t>號</w:t>
      </w:r>
      <w:r w:rsidR="009827C9">
        <w:rPr>
          <w:rFonts w:ascii="Book Antiqua" w:eastAsia="標楷體" w:hAnsi="Book Antiqua" w:hint="eastAsia"/>
          <w:kern w:val="2"/>
        </w:rPr>
        <w:t xml:space="preserve"> </w:t>
      </w:r>
    </w:p>
    <w:tbl>
      <w:tblPr>
        <w:tblStyle w:val="a3"/>
        <w:tblW w:w="10201" w:type="dxa"/>
        <w:jc w:val="center"/>
        <w:tblLook w:val="04A0" w:firstRow="1" w:lastRow="0" w:firstColumn="1" w:lastColumn="0" w:noHBand="0" w:noVBand="1"/>
      </w:tblPr>
      <w:tblGrid>
        <w:gridCol w:w="704"/>
        <w:gridCol w:w="1711"/>
        <w:gridCol w:w="1700"/>
        <w:gridCol w:w="1705"/>
        <w:gridCol w:w="1700"/>
        <w:gridCol w:w="9"/>
        <w:gridCol w:w="2672"/>
      </w:tblGrid>
      <w:tr w:rsidR="00137C12" w:rsidTr="0076465B">
        <w:trPr>
          <w:jc w:val="center"/>
        </w:trPr>
        <w:tc>
          <w:tcPr>
            <w:tcW w:w="704" w:type="dxa"/>
          </w:tcPr>
          <w:p w:rsidR="00137C12" w:rsidRPr="00137C12" w:rsidRDefault="00137C12" w:rsidP="00137C12">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137C12" w:rsidRPr="00137C12" w:rsidRDefault="00137C12" w:rsidP="00137C12">
            <w:pPr>
              <w:snapToGrid w:val="0"/>
              <w:spacing w:line="240" w:lineRule="atLeast"/>
              <w:jc w:val="both"/>
              <w:rPr>
                <w:rFonts w:ascii="Book Antiqua" w:eastAsia="標楷體" w:hAnsi="Book Antiqua"/>
                <w:b/>
                <w:kern w:val="2"/>
                <w:sz w:val="28"/>
              </w:rPr>
            </w:pPr>
            <w:r w:rsidRPr="00137C12">
              <w:rPr>
                <w:rFonts w:ascii="Book Antiqua" w:eastAsia="標楷體" w:hAnsi="Book Antiqua" w:hint="eastAsia"/>
                <w:b/>
                <w:kern w:val="2"/>
                <w:szCs w:val="24"/>
              </w:rPr>
              <w:t>項目</w:t>
            </w:r>
          </w:p>
        </w:tc>
        <w:tc>
          <w:tcPr>
            <w:tcW w:w="1711" w:type="dxa"/>
          </w:tcPr>
          <w:p w:rsid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免修課程</w:t>
            </w:r>
          </w:p>
          <w:p w:rsidR="00430BF8" w:rsidRPr="00137C12" w:rsidRDefault="00430BF8" w:rsidP="00430BF8">
            <w:pPr>
              <w:snapToGrid w:val="0"/>
              <w:spacing w:line="240" w:lineRule="atLeast"/>
              <w:rPr>
                <w:rFonts w:ascii="Book Antiqua" w:eastAsia="標楷體" w:hAnsi="Book Antiqua"/>
                <w:b/>
                <w:kern w:val="2"/>
                <w:szCs w:val="24"/>
              </w:rPr>
            </w:pPr>
            <w:r w:rsidRPr="00137C12">
              <w:rPr>
                <w:rFonts w:ascii="Book Antiqua" w:eastAsia="標楷體" w:hAnsi="Book Antiqua" w:hint="eastAsia"/>
                <w:b/>
                <w:kern w:val="2"/>
                <w:szCs w:val="24"/>
              </w:rPr>
              <w:t>（學習領域）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加速</w:t>
            </w:r>
          </w:p>
        </w:tc>
        <w:tc>
          <w:tcPr>
            <w:tcW w:w="1705"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同時加速</w:t>
            </w:r>
          </w:p>
        </w:tc>
        <w:tc>
          <w:tcPr>
            <w:tcW w:w="1700" w:type="dxa"/>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部分學科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c>
          <w:tcPr>
            <w:tcW w:w="2681" w:type="dxa"/>
            <w:gridSpan w:val="2"/>
          </w:tcPr>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全部學科</w:t>
            </w:r>
          </w:p>
          <w:p w:rsidR="00137C12" w:rsidRPr="00137C12" w:rsidRDefault="00137C12" w:rsidP="00137C12">
            <w:pPr>
              <w:snapToGrid w:val="0"/>
              <w:spacing w:line="240" w:lineRule="atLeast"/>
              <w:jc w:val="center"/>
              <w:rPr>
                <w:rFonts w:ascii="Book Antiqua" w:eastAsia="標楷體" w:hAnsi="Book Antiqua"/>
                <w:b/>
                <w:kern w:val="2"/>
                <w:szCs w:val="24"/>
              </w:rPr>
            </w:pPr>
            <w:r w:rsidRPr="00137C12">
              <w:rPr>
                <w:rFonts w:ascii="Book Antiqua" w:eastAsia="標楷體" w:hAnsi="Book Antiqua" w:hint="eastAsia"/>
                <w:b/>
                <w:kern w:val="2"/>
                <w:szCs w:val="24"/>
              </w:rPr>
              <w:t>（學習領域）</w:t>
            </w:r>
          </w:p>
          <w:p w:rsidR="00137C12" w:rsidRPr="00137C12" w:rsidRDefault="00137C12" w:rsidP="00137C12">
            <w:pPr>
              <w:snapToGrid w:val="0"/>
              <w:spacing w:line="240" w:lineRule="atLeast"/>
              <w:jc w:val="center"/>
              <w:rPr>
                <w:rFonts w:ascii="Book Antiqua" w:eastAsia="標楷體" w:hAnsi="Book Antiqua"/>
                <w:b/>
                <w:kern w:val="2"/>
                <w:sz w:val="28"/>
              </w:rPr>
            </w:pPr>
            <w:r w:rsidRPr="00137C12">
              <w:rPr>
                <w:rFonts w:ascii="Book Antiqua" w:eastAsia="標楷體" w:hAnsi="Book Antiqua" w:hint="eastAsia"/>
                <w:b/>
                <w:kern w:val="2"/>
                <w:szCs w:val="24"/>
              </w:rPr>
              <w:t>跳級</w:t>
            </w:r>
          </w:p>
        </w:tc>
      </w:tr>
      <w:tr w:rsidR="00D74FE7" w:rsidTr="0076465B">
        <w:trPr>
          <w:jc w:val="center"/>
        </w:trPr>
        <w:tc>
          <w:tcPr>
            <w:tcW w:w="704" w:type="dxa"/>
          </w:tcPr>
          <w:p w:rsidR="00D74FE7" w:rsidRPr="00137C12" w:rsidRDefault="00D74FE7" w:rsidP="00137C12">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目的</w:t>
            </w:r>
          </w:p>
        </w:tc>
        <w:tc>
          <w:tcPr>
            <w:tcW w:w="1711" w:type="dxa"/>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免修該課程，以進行該科或他科課程之充實學習或自學輔導。</w:t>
            </w:r>
            <w:r w:rsidRPr="00D74FE7">
              <w:rPr>
                <w:rFonts w:ascii="Book Antiqua" w:eastAsia="標楷體" w:hAnsi="Book Antiqua" w:hint="eastAsia"/>
                <w:kern w:val="2"/>
                <w:szCs w:val="24"/>
              </w:rPr>
              <w:tab/>
            </w:r>
          </w:p>
        </w:tc>
        <w:tc>
          <w:tcPr>
            <w:tcW w:w="5105" w:type="dxa"/>
            <w:gridSpan w:val="3"/>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依學生學習速度加速學習或跳級學習該科課程；若修畢該教育階段相關課程，可提早畢業。</w:t>
            </w:r>
          </w:p>
        </w:tc>
        <w:tc>
          <w:tcPr>
            <w:tcW w:w="2681" w:type="dxa"/>
            <w:gridSpan w:val="2"/>
          </w:tcPr>
          <w:p w:rsidR="00D74FE7" w:rsidRPr="00D74FE7" w:rsidRDefault="00D74FE7" w:rsidP="00D74FE7">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以少於一般學生修業時間完成學習，以提早畢業。</w:t>
            </w:r>
          </w:p>
        </w:tc>
      </w:tr>
      <w:tr w:rsidR="00A412CC" w:rsidTr="0076465B">
        <w:trPr>
          <w:jc w:val="center"/>
        </w:trPr>
        <w:tc>
          <w:tcPr>
            <w:tcW w:w="704" w:type="dxa"/>
            <w:vMerge w:val="restart"/>
          </w:tcPr>
          <w:p w:rsidR="00A412CC" w:rsidRPr="00137C12" w:rsidRDefault="00A412CC" w:rsidP="004E77B5">
            <w:pPr>
              <w:snapToGrid w:val="0"/>
              <w:spacing w:line="240" w:lineRule="atLeast"/>
              <w:jc w:val="both"/>
              <w:rPr>
                <w:rFonts w:ascii="Book Antiqua" w:eastAsia="標楷體" w:hAnsi="Book Antiqua"/>
                <w:b/>
                <w:kern w:val="2"/>
                <w:szCs w:val="24"/>
              </w:rPr>
            </w:pPr>
            <w:r w:rsidRPr="00137C12">
              <w:rPr>
                <w:rFonts w:ascii="Book Antiqua" w:eastAsia="標楷體" w:hAnsi="Book Antiqua" w:hint="eastAsia"/>
                <w:b/>
                <w:kern w:val="2"/>
                <w:szCs w:val="24"/>
              </w:rPr>
              <w:t>申請</w:t>
            </w:r>
          </w:p>
          <w:p w:rsidR="00A412CC" w:rsidRDefault="00A412CC" w:rsidP="004E77B5">
            <w:pPr>
              <w:snapToGrid w:val="0"/>
              <w:spacing w:line="240" w:lineRule="atLeast"/>
              <w:jc w:val="both"/>
              <w:rPr>
                <w:rFonts w:ascii="Book Antiqua" w:eastAsia="標楷體" w:hAnsi="Book Antiqua"/>
                <w:kern w:val="2"/>
                <w:szCs w:val="24"/>
              </w:rPr>
            </w:pPr>
            <w:r w:rsidRPr="00137C12">
              <w:rPr>
                <w:rFonts w:ascii="Book Antiqua" w:eastAsia="標楷體" w:hAnsi="Book Antiqua" w:hint="eastAsia"/>
                <w:b/>
                <w:kern w:val="2"/>
                <w:szCs w:val="24"/>
              </w:rPr>
              <w:t>資格</w:t>
            </w:r>
          </w:p>
          <w:p w:rsidR="00A412CC" w:rsidRDefault="00A412CC" w:rsidP="00137C12">
            <w:pPr>
              <w:snapToGrid w:val="0"/>
              <w:spacing w:line="240" w:lineRule="atLeast"/>
              <w:jc w:val="both"/>
              <w:rPr>
                <w:rFonts w:ascii="Book Antiqua" w:eastAsia="標楷體" w:hAnsi="Book Antiqua"/>
                <w:b/>
                <w:kern w:val="2"/>
                <w:sz w:val="28"/>
              </w:rPr>
            </w:pPr>
          </w:p>
        </w:tc>
        <w:tc>
          <w:tcPr>
            <w:tcW w:w="5116" w:type="dxa"/>
            <w:gridSpan w:val="3"/>
          </w:tcPr>
          <w:p w:rsidR="00A412CC" w:rsidRPr="00137C12" w:rsidRDefault="00A412CC" w:rsidP="00A412CC">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學生申請免修課程</w:t>
            </w:r>
            <w:r w:rsidR="00430BF8" w:rsidRPr="00430BF8">
              <w:rPr>
                <w:rFonts w:ascii="Book Antiqua" w:eastAsia="標楷體" w:hAnsi="Book Antiqua" w:hint="eastAsia"/>
                <w:kern w:val="2"/>
                <w:szCs w:val="24"/>
              </w:rPr>
              <w:t>（學習領域）</w:t>
            </w:r>
            <w:r w:rsidRPr="00B512E9">
              <w:rPr>
                <w:rFonts w:ascii="Book Antiqua" w:eastAsia="標楷體" w:hAnsi="Book Antiqua" w:hint="eastAsia"/>
                <w:kern w:val="2"/>
                <w:szCs w:val="24"/>
              </w:rPr>
              <w:t>、部分學科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加速或全部學科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同時加速，其前一學期或學年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含前一教育階段）該科（學習領域）成績達同年級全部學生前百分之七。</w:t>
            </w:r>
          </w:p>
        </w:tc>
        <w:tc>
          <w:tcPr>
            <w:tcW w:w="4381" w:type="dxa"/>
            <w:gridSpan w:val="3"/>
          </w:tcPr>
          <w:p w:rsidR="00A412CC" w:rsidRPr="00137C12" w:rsidRDefault="00A412CC" w:rsidP="00B512E9">
            <w:pPr>
              <w:snapToGrid w:val="0"/>
              <w:spacing w:line="240" w:lineRule="atLeast"/>
              <w:jc w:val="both"/>
              <w:rPr>
                <w:rFonts w:ascii="Book Antiqua" w:eastAsia="標楷體" w:hAnsi="Book Antiqua"/>
                <w:kern w:val="2"/>
                <w:szCs w:val="24"/>
              </w:rPr>
            </w:pPr>
            <w:r w:rsidRPr="00B512E9">
              <w:rPr>
                <w:rFonts w:ascii="Book Antiqua" w:eastAsia="標楷體" w:hAnsi="Book Antiqua" w:hint="eastAsia"/>
                <w:kern w:val="2"/>
                <w:szCs w:val="24"/>
              </w:rPr>
              <w:t>學生申請部分學科</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學習領域</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跳級及全部學科跳級，其前一學期或學年</w:t>
            </w:r>
            <w:r w:rsidRPr="00B512E9">
              <w:rPr>
                <w:rFonts w:ascii="Book Antiqua" w:eastAsia="標楷體" w:hAnsi="Book Antiqua" w:hint="eastAsia"/>
                <w:kern w:val="2"/>
                <w:szCs w:val="24"/>
              </w:rPr>
              <w:t>(</w:t>
            </w:r>
            <w:r w:rsidRPr="00B512E9">
              <w:rPr>
                <w:rFonts w:ascii="Book Antiqua" w:eastAsia="標楷體" w:hAnsi="Book Antiqua" w:hint="eastAsia"/>
                <w:kern w:val="2"/>
                <w:szCs w:val="24"/>
              </w:rPr>
              <w:t>含前一教育階段）該科（學習領域）成績達同年級全部學生前百分之三</w:t>
            </w:r>
            <w:r>
              <w:rPr>
                <w:rFonts w:ascii="Book Antiqua" w:eastAsia="標楷體" w:hAnsi="Book Antiqua" w:hint="eastAsia"/>
                <w:kern w:val="2"/>
                <w:szCs w:val="24"/>
              </w:rPr>
              <w:t>。</w:t>
            </w:r>
          </w:p>
        </w:tc>
      </w:tr>
      <w:tr w:rsidR="00B512E9" w:rsidTr="0076465B">
        <w:trPr>
          <w:jc w:val="center"/>
        </w:trPr>
        <w:tc>
          <w:tcPr>
            <w:tcW w:w="704" w:type="dxa"/>
            <w:vMerge/>
          </w:tcPr>
          <w:p w:rsidR="00B512E9" w:rsidRPr="00137C12" w:rsidRDefault="00B512E9" w:rsidP="004E77B5">
            <w:pPr>
              <w:snapToGrid w:val="0"/>
              <w:spacing w:line="240" w:lineRule="atLeast"/>
              <w:jc w:val="both"/>
              <w:rPr>
                <w:rFonts w:ascii="Book Antiqua" w:eastAsia="標楷體" w:hAnsi="Book Antiqua"/>
                <w:b/>
                <w:kern w:val="2"/>
                <w:szCs w:val="24"/>
              </w:rPr>
            </w:pPr>
          </w:p>
        </w:tc>
        <w:tc>
          <w:tcPr>
            <w:tcW w:w="9497" w:type="dxa"/>
            <w:gridSpan w:val="6"/>
          </w:tcPr>
          <w:p w:rsidR="00B512E9" w:rsidRPr="00A412CC" w:rsidRDefault="00D74FE7" w:rsidP="00A412CC">
            <w:pPr>
              <w:snapToGrid w:val="0"/>
              <w:spacing w:line="240" w:lineRule="atLeast"/>
              <w:jc w:val="both"/>
              <w:rPr>
                <w:rFonts w:ascii="Book Antiqua" w:eastAsia="標楷體" w:hAnsi="Book Antiqua"/>
                <w:kern w:val="2"/>
                <w:szCs w:val="24"/>
              </w:rPr>
            </w:pPr>
            <w:r w:rsidRPr="00D74FE7">
              <w:rPr>
                <w:rFonts w:ascii="Book Antiqua" w:eastAsia="標楷體" w:hAnsi="Book Antiqua" w:hint="eastAsia"/>
                <w:kern w:val="2"/>
                <w:szCs w:val="24"/>
              </w:rPr>
              <w:t>※</w:t>
            </w:r>
            <w:r w:rsidR="00B512E9" w:rsidRPr="00A412CC">
              <w:rPr>
                <w:rFonts w:ascii="Book Antiqua" w:eastAsia="標楷體" w:hAnsi="Book Antiqua" w:hint="eastAsia"/>
                <w:kern w:val="2"/>
                <w:szCs w:val="24"/>
              </w:rPr>
              <w:t>倘學校因特殊需求另訂較嚴格之百分比申請資格者，得專案報局審核。</w:t>
            </w:r>
          </w:p>
        </w:tc>
      </w:tr>
      <w:tr w:rsidR="00700AAA" w:rsidTr="0076465B">
        <w:trPr>
          <w:jc w:val="center"/>
        </w:trPr>
        <w:tc>
          <w:tcPr>
            <w:tcW w:w="704" w:type="dxa"/>
          </w:tcPr>
          <w:p w:rsidR="00700AAA" w:rsidRDefault="00700AAA" w:rsidP="00857647">
            <w:pPr>
              <w:snapToGrid w:val="0"/>
              <w:spacing w:line="240" w:lineRule="atLeast"/>
              <w:jc w:val="both"/>
              <w:rPr>
                <w:rFonts w:ascii="Book Antiqua" w:eastAsia="標楷體" w:hAnsi="Book Antiqua"/>
                <w:b/>
                <w:kern w:val="2"/>
                <w:szCs w:val="24"/>
              </w:rPr>
            </w:pPr>
            <w:r w:rsidRPr="00700AAA">
              <w:rPr>
                <w:rFonts w:ascii="Book Antiqua" w:eastAsia="標楷體" w:hAnsi="Book Antiqua" w:hint="eastAsia"/>
                <w:b/>
                <w:kern w:val="2"/>
                <w:szCs w:val="24"/>
              </w:rPr>
              <w:t>評量科目</w:t>
            </w:r>
          </w:p>
        </w:tc>
        <w:tc>
          <w:tcPr>
            <w:tcW w:w="9497" w:type="dxa"/>
            <w:gridSpan w:val="6"/>
          </w:tcPr>
          <w:p w:rsidR="00700AAA" w:rsidRPr="009324F8" w:rsidRDefault="00700AAA" w:rsidP="009324F8">
            <w:pPr>
              <w:snapToGrid w:val="0"/>
              <w:spacing w:line="240" w:lineRule="atLeast"/>
              <w:jc w:val="both"/>
              <w:rPr>
                <w:rFonts w:ascii="Book Antiqua" w:eastAsia="標楷體" w:hAnsi="Book Antiqua"/>
                <w:kern w:val="2"/>
                <w:szCs w:val="24"/>
              </w:rPr>
            </w:pPr>
            <w:r w:rsidRPr="009324F8">
              <w:rPr>
                <w:rFonts w:ascii="Book Antiqua" w:eastAsia="標楷體" w:hAnsi="Book Antiqua" w:hint="eastAsia"/>
                <w:kern w:val="2"/>
                <w:szCs w:val="24"/>
              </w:rPr>
              <w:t>※各教育階段評量科目如</w:t>
            </w:r>
            <w:r>
              <w:rPr>
                <w:rFonts w:ascii="Book Antiqua" w:eastAsia="標楷體" w:hAnsi="Book Antiqua" w:hint="eastAsia"/>
                <w:kern w:val="2"/>
                <w:szCs w:val="24"/>
              </w:rPr>
              <w:t>下；可單科或多科同時申請</w:t>
            </w:r>
            <w:r w:rsidR="00315E0D">
              <w:rPr>
                <w:rFonts w:ascii="Book Antiqua" w:eastAsia="標楷體" w:hAnsi="Book Antiqua" w:hint="eastAsia"/>
                <w:kern w:val="2"/>
                <w:szCs w:val="24"/>
              </w:rPr>
              <w:t>。</w:t>
            </w:r>
            <w:r w:rsidRPr="00700AAA">
              <w:rPr>
                <w:rFonts w:ascii="Book Antiqua" w:eastAsia="標楷體" w:hAnsi="Book Antiqua" w:hint="eastAsia"/>
                <w:kern w:val="2"/>
                <w:szCs w:val="24"/>
              </w:rPr>
              <w:t>另申請全部學科</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學習領域</w:t>
            </w:r>
            <w:r w:rsidRPr="00700AAA">
              <w:rPr>
                <w:rFonts w:ascii="Book Antiqua" w:eastAsia="標楷體" w:hAnsi="Book Antiqua" w:hint="eastAsia"/>
                <w:kern w:val="2"/>
                <w:szCs w:val="24"/>
              </w:rPr>
              <w:t>)</w:t>
            </w:r>
            <w:r w:rsidRPr="00700AAA">
              <w:rPr>
                <w:rFonts w:ascii="Book Antiqua" w:eastAsia="標楷體" w:hAnsi="Book Antiqua" w:hint="eastAsia"/>
                <w:kern w:val="2"/>
                <w:szCs w:val="24"/>
              </w:rPr>
              <w:t>跳級，須同時</w:t>
            </w:r>
            <w:r w:rsidR="008C75B4">
              <w:rPr>
                <w:rFonts w:ascii="Book Antiqua" w:eastAsia="標楷體" w:hAnsi="Book Antiqua" w:hint="eastAsia"/>
                <w:kern w:val="2"/>
                <w:szCs w:val="24"/>
              </w:rPr>
              <w:t>評量</w:t>
            </w:r>
            <w:r w:rsidR="00D60C73" w:rsidRPr="00D60C73">
              <w:rPr>
                <w:rFonts w:ascii="Book Antiqua" w:eastAsia="標楷體" w:hAnsi="Book Antiqua" w:hint="eastAsia"/>
                <w:kern w:val="2"/>
                <w:szCs w:val="24"/>
              </w:rPr>
              <w:t>語文、數學、社會、自然科學領域</w:t>
            </w:r>
            <w:r w:rsidRPr="00700AAA">
              <w:rPr>
                <w:rFonts w:ascii="Book Antiqua" w:eastAsia="標楷體" w:hAnsi="Book Antiqua" w:hint="eastAsia"/>
                <w:kern w:val="2"/>
                <w:szCs w:val="24"/>
              </w:rPr>
              <w:t>。</w:t>
            </w:r>
          </w:p>
          <w:p w:rsidR="00DE6234" w:rsidRDefault="00700AAA"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1</w:t>
            </w:r>
            <w:r w:rsidR="00DE6234">
              <w:rPr>
                <w:rFonts w:ascii="Book Antiqua" w:eastAsia="標楷體" w:hAnsi="Book Antiqua" w:hint="eastAsia"/>
                <w:kern w:val="2"/>
                <w:szCs w:val="24"/>
              </w:rPr>
              <w:t>、</w:t>
            </w:r>
            <w:r w:rsidR="00DE6234" w:rsidRPr="00DE6234">
              <w:rPr>
                <w:rFonts w:ascii="Book Antiqua" w:eastAsia="標楷體" w:hAnsi="Book Antiqua" w:hint="eastAsia"/>
                <w:kern w:val="2"/>
                <w:szCs w:val="24"/>
              </w:rPr>
              <w:t>國民小學教育階段：語文、數學、社會、自然科學領域之相關學科。</w:t>
            </w:r>
          </w:p>
          <w:p w:rsidR="00700AAA" w:rsidRPr="00DE6234" w:rsidRDefault="00DE6234" w:rsidP="00DE6234">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Pr>
                <w:rFonts w:ascii="Book Antiqua" w:eastAsia="標楷體" w:hAnsi="Book Antiqua" w:hint="eastAsia"/>
                <w:kern w:val="2"/>
                <w:szCs w:val="24"/>
              </w:rPr>
              <w:t>、</w:t>
            </w:r>
            <w:r w:rsidRPr="00DE6234">
              <w:rPr>
                <w:rFonts w:ascii="Book Antiqua" w:eastAsia="標楷體" w:hAnsi="Book Antiqua" w:hint="eastAsia"/>
                <w:kern w:val="2"/>
                <w:szCs w:val="24"/>
              </w:rPr>
              <w:t>國民中學及高級中等教育階段：語文、數學、社會、自然科學及科技領域之相關學科。</w:t>
            </w:r>
          </w:p>
        </w:tc>
      </w:tr>
      <w:tr w:rsidR="009324F8" w:rsidTr="0076465B">
        <w:trPr>
          <w:jc w:val="center"/>
        </w:trPr>
        <w:tc>
          <w:tcPr>
            <w:tcW w:w="704" w:type="dxa"/>
          </w:tcPr>
          <w:p w:rsidR="009324F8" w:rsidRDefault="00700AAA" w:rsidP="00F36E7D">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通過標準</w:t>
            </w:r>
          </w:p>
        </w:tc>
        <w:tc>
          <w:tcPr>
            <w:tcW w:w="6825" w:type="dxa"/>
            <w:gridSpan w:val="5"/>
          </w:tcPr>
          <w:p w:rsidR="009324F8" w:rsidRDefault="009324F8" w:rsidP="00F36E7D">
            <w:pPr>
              <w:snapToGrid w:val="0"/>
              <w:spacing w:line="240" w:lineRule="atLeast"/>
              <w:jc w:val="both"/>
              <w:rPr>
                <w:rFonts w:ascii="Book Antiqua" w:eastAsia="標楷體" w:hAnsi="Book Antiqua"/>
                <w:kern w:val="2"/>
                <w:szCs w:val="24"/>
              </w:rPr>
            </w:pPr>
            <w:r w:rsidRPr="002773FE">
              <w:rPr>
                <w:rFonts w:ascii="Book Antiqua" w:eastAsia="標楷體" w:hAnsi="Book Antiqua" w:hint="eastAsia"/>
                <w:kern w:val="2"/>
                <w:szCs w:val="24"/>
              </w:rPr>
              <w:t>其評量方式及鑑定標準由各校</w:t>
            </w:r>
            <w:r w:rsidR="00A418B2">
              <w:rPr>
                <w:rFonts w:ascii="Book Antiqua" w:eastAsia="標楷體" w:hAnsi="Book Antiqua" w:hint="eastAsia"/>
                <w:kern w:val="2"/>
                <w:szCs w:val="24"/>
              </w:rPr>
              <w:t>資優</w:t>
            </w:r>
            <w:r w:rsidRPr="002773FE">
              <w:rPr>
                <w:rFonts w:ascii="Book Antiqua" w:eastAsia="標楷體" w:hAnsi="Book Antiqua" w:hint="eastAsia"/>
                <w:kern w:val="2"/>
                <w:szCs w:val="24"/>
              </w:rPr>
              <w:t>小組訂定之，可採下列方式及標準：</w:t>
            </w:r>
          </w:p>
          <w:p w:rsidR="002117BA" w:rsidRPr="002117BA" w:rsidRDefault="009324F8" w:rsidP="002117BA">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1</w:t>
            </w:r>
            <w:r w:rsidRPr="000E2A1B">
              <w:rPr>
                <w:rFonts w:ascii="Book Antiqua" w:eastAsia="標楷體" w:hAnsi="Book Antiqua" w:hint="eastAsia"/>
                <w:kern w:val="2"/>
                <w:szCs w:val="24"/>
              </w:rPr>
              <w:t>、參加該科學校自編成就測驗成績達學校</w:t>
            </w:r>
            <w:r w:rsidR="002117BA">
              <w:rPr>
                <w:rFonts w:ascii="Book Antiqua" w:eastAsia="標楷體" w:hAnsi="Book Antiqua" w:hint="eastAsia"/>
                <w:kern w:val="2"/>
                <w:szCs w:val="24"/>
              </w:rPr>
              <w:t>資優</w:t>
            </w:r>
            <w:r w:rsidRPr="000E2A1B">
              <w:rPr>
                <w:rFonts w:ascii="Book Antiqua" w:eastAsia="標楷體" w:hAnsi="Book Antiqua" w:hint="eastAsia"/>
                <w:kern w:val="2"/>
                <w:szCs w:val="24"/>
              </w:rPr>
              <w:t>小組訂定標準之分數以上。</w:t>
            </w:r>
          </w:p>
          <w:p w:rsidR="009324F8" w:rsidRPr="000E2A1B"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2</w:t>
            </w:r>
            <w:r w:rsidR="009324F8" w:rsidRPr="000E2A1B">
              <w:rPr>
                <w:rFonts w:ascii="Book Antiqua" w:eastAsia="標楷體" w:hAnsi="Book Antiqua" w:hint="eastAsia"/>
                <w:kern w:val="2"/>
                <w:szCs w:val="24"/>
              </w:rPr>
              <w:t>、參考各科檢定考試結果，如：英語科可參考英檢之各級檢定標準或托福考試分數等。</w:t>
            </w:r>
          </w:p>
          <w:p w:rsidR="009324F8" w:rsidRDefault="002663F7"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3</w:t>
            </w:r>
            <w:r w:rsidR="009324F8" w:rsidRPr="000E2A1B">
              <w:rPr>
                <w:rFonts w:ascii="Book Antiqua" w:eastAsia="標楷體" w:hAnsi="Book Antiqua" w:hint="eastAsia"/>
                <w:kern w:val="2"/>
                <w:szCs w:val="24"/>
              </w:rPr>
              <w:t>、前一學年代表國家參加國際奧林匹亞競賽得獎或參加國際奧林匹亞培訓營結訓者，可以參賽科目提出該科免修，不需再參加考試。</w:t>
            </w:r>
            <w:r w:rsidR="009324F8" w:rsidRPr="000E2A1B">
              <w:rPr>
                <w:rFonts w:ascii="Book Antiqua" w:eastAsia="標楷體" w:hAnsi="Book Antiqua" w:hint="eastAsia"/>
                <w:kern w:val="2"/>
                <w:szCs w:val="24"/>
              </w:rPr>
              <w:tab/>
            </w:r>
            <w:r w:rsidR="009324F8" w:rsidRPr="000E2A1B">
              <w:rPr>
                <w:rFonts w:ascii="Book Antiqua" w:eastAsia="標楷體" w:hAnsi="Book Antiqua" w:hint="eastAsia"/>
                <w:kern w:val="2"/>
                <w:szCs w:val="24"/>
              </w:rPr>
              <w:tab/>
            </w:r>
          </w:p>
          <w:p w:rsidR="00B512E9" w:rsidRDefault="00C30E95" w:rsidP="00F36E7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4</w:t>
            </w:r>
            <w:r>
              <w:rPr>
                <w:rFonts w:ascii="Book Antiqua" w:eastAsia="標楷體" w:hAnsi="Book Antiqua" w:hint="eastAsia"/>
                <w:kern w:val="2"/>
                <w:szCs w:val="24"/>
              </w:rPr>
              <w:t>、申請部分學科</w:t>
            </w:r>
            <w:r w:rsidR="0004751C" w:rsidRPr="0004751C">
              <w:rPr>
                <w:rFonts w:ascii="Book Antiqua" w:eastAsia="標楷體" w:hAnsi="Book Antiqua" w:hint="eastAsia"/>
                <w:kern w:val="2"/>
                <w:szCs w:val="24"/>
              </w:rPr>
              <w:t>（學習領域）</w:t>
            </w:r>
            <w:r w:rsidR="0004751C">
              <w:rPr>
                <w:rFonts w:ascii="Book Antiqua" w:eastAsia="標楷體" w:hAnsi="Book Antiqua" w:hint="eastAsia"/>
                <w:kern w:val="2"/>
                <w:szCs w:val="24"/>
              </w:rPr>
              <w:t>跳級</w:t>
            </w:r>
            <w:r>
              <w:rPr>
                <w:rFonts w:ascii="Book Antiqua" w:eastAsia="標楷體" w:hAnsi="Book Antiqua" w:hint="eastAsia"/>
                <w:kern w:val="2"/>
                <w:szCs w:val="24"/>
              </w:rPr>
              <w:t>者，</w:t>
            </w:r>
            <w:r w:rsidRPr="00C30E95">
              <w:rPr>
                <w:rFonts w:ascii="Book Antiqua" w:eastAsia="標楷體" w:hAnsi="Book Antiqua" w:hint="eastAsia"/>
                <w:kern w:val="2"/>
                <w:szCs w:val="24"/>
              </w:rPr>
              <w:t>社會適應行為評量宜與適齡學生相當，由相關教師或專業人員</w:t>
            </w:r>
            <w:r w:rsidRPr="00C30E95">
              <w:rPr>
                <w:rFonts w:ascii="Book Antiqua" w:eastAsia="標楷體" w:hAnsi="Book Antiqua" w:hint="eastAsia"/>
                <w:kern w:val="2"/>
                <w:szCs w:val="24"/>
              </w:rPr>
              <w:t>(</w:t>
            </w:r>
            <w:r w:rsidRPr="00C30E95">
              <w:rPr>
                <w:rFonts w:ascii="Book Antiqua" w:eastAsia="標楷體" w:hAnsi="Book Antiqua" w:hint="eastAsia"/>
                <w:kern w:val="2"/>
                <w:szCs w:val="24"/>
              </w:rPr>
              <w:t>至少兩位</w:t>
            </w:r>
            <w:r w:rsidR="003304AF">
              <w:rPr>
                <w:rFonts w:ascii="Book Antiqua" w:eastAsia="標楷體" w:hAnsi="Book Antiqua" w:hint="eastAsia"/>
                <w:kern w:val="2"/>
                <w:szCs w:val="24"/>
              </w:rPr>
              <w:t>)</w:t>
            </w:r>
            <w:r w:rsidRPr="00C30E95">
              <w:rPr>
                <w:rFonts w:ascii="Book Antiqua" w:eastAsia="標楷體" w:hAnsi="Book Antiqua" w:hint="eastAsia"/>
                <w:kern w:val="2"/>
                <w:szCs w:val="24"/>
              </w:rPr>
              <w:t>提出證明。</w:t>
            </w:r>
          </w:p>
          <w:p w:rsidR="00B512E9" w:rsidRPr="005A4A9E" w:rsidRDefault="00B512E9" w:rsidP="00F36E7D">
            <w:pPr>
              <w:snapToGrid w:val="0"/>
              <w:spacing w:line="240" w:lineRule="atLeast"/>
              <w:jc w:val="both"/>
              <w:rPr>
                <w:rFonts w:ascii="Book Antiqua" w:eastAsia="標楷體" w:hAnsi="Book Antiqua"/>
                <w:kern w:val="2"/>
                <w:szCs w:val="24"/>
              </w:rPr>
            </w:pPr>
          </w:p>
        </w:tc>
        <w:tc>
          <w:tcPr>
            <w:tcW w:w="2672" w:type="dxa"/>
          </w:tcPr>
          <w:p w:rsidR="009324F8" w:rsidRPr="007E73EC"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1</w:t>
            </w:r>
            <w:r w:rsidRPr="007E73EC">
              <w:rPr>
                <w:rFonts w:ascii="Book Antiqua" w:eastAsia="標楷體" w:hAnsi="Book Antiqua" w:hint="eastAsia"/>
                <w:kern w:val="2"/>
                <w:szCs w:val="24"/>
              </w:rPr>
              <w:t>、評量科目高一年級段考之平均成績，</w:t>
            </w:r>
            <w:r w:rsidR="0076465B" w:rsidRPr="00DE6234">
              <w:rPr>
                <w:rFonts w:ascii="Book Antiqua" w:eastAsia="標楷體" w:hAnsi="Book Antiqua" w:hint="eastAsia"/>
                <w:kern w:val="2"/>
                <w:szCs w:val="24"/>
              </w:rPr>
              <w:t>高級中等教育階段</w:t>
            </w:r>
            <w:r w:rsidRPr="007E73EC">
              <w:rPr>
                <w:rFonts w:ascii="Book Antiqua" w:eastAsia="標楷體" w:hAnsi="Book Antiqua" w:hint="eastAsia"/>
                <w:kern w:val="2"/>
                <w:szCs w:val="24"/>
              </w:rPr>
              <w:t>達平均數、</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中</w:t>
            </w:r>
            <w:r w:rsidR="0076465B" w:rsidRPr="00DE6234">
              <w:rPr>
                <w:rFonts w:ascii="Book Antiqua" w:eastAsia="標楷體" w:hAnsi="Book Antiqua" w:hint="eastAsia"/>
                <w:kern w:val="2"/>
                <w:szCs w:val="24"/>
              </w:rPr>
              <w:t>學</w:t>
            </w:r>
            <w:r w:rsidR="0076465B">
              <w:rPr>
                <w:rFonts w:ascii="Book Antiqua" w:eastAsia="標楷體" w:hAnsi="Book Antiqua" w:hint="eastAsia"/>
                <w:kern w:val="2"/>
                <w:szCs w:val="24"/>
              </w:rPr>
              <w:t>及</w:t>
            </w:r>
            <w:r w:rsidR="0076465B" w:rsidRPr="00DE6234">
              <w:rPr>
                <w:rFonts w:ascii="Book Antiqua" w:eastAsia="標楷體" w:hAnsi="Book Antiqua" w:hint="eastAsia"/>
                <w:kern w:val="2"/>
                <w:szCs w:val="24"/>
              </w:rPr>
              <w:t>國民</w:t>
            </w:r>
            <w:r w:rsidR="009667A5" w:rsidRPr="00DE6234">
              <w:rPr>
                <w:rFonts w:ascii="Book Antiqua" w:eastAsia="標楷體" w:hAnsi="Book Antiqua" w:hint="eastAsia"/>
                <w:kern w:val="2"/>
                <w:szCs w:val="24"/>
              </w:rPr>
              <w:t>小</w:t>
            </w:r>
            <w:r w:rsidR="0076465B" w:rsidRPr="00DE6234">
              <w:rPr>
                <w:rFonts w:ascii="Book Antiqua" w:eastAsia="標楷體" w:hAnsi="Book Antiqua" w:hint="eastAsia"/>
                <w:kern w:val="2"/>
                <w:szCs w:val="24"/>
              </w:rPr>
              <w:t>學教育階段</w:t>
            </w:r>
            <w:r w:rsidRPr="007E73EC">
              <w:rPr>
                <w:rFonts w:ascii="Book Antiqua" w:eastAsia="標楷體" w:hAnsi="Book Antiqua" w:hint="eastAsia"/>
                <w:kern w:val="2"/>
                <w:szCs w:val="24"/>
              </w:rPr>
              <w:t>達正一個標準差以上。</w:t>
            </w:r>
          </w:p>
          <w:p w:rsidR="009324F8" w:rsidRPr="000E2A1B" w:rsidRDefault="009324F8" w:rsidP="00F36E7D">
            <w:pPr>
              <w:snapToGrid w:val="0"/>
              <w:spacing w:line="240" w:lineRule="atLeast"/>
              <w:jc w:val="both"/>
              <w:rPr>
                <w:rFonts w:ascii="Book Antiqua" w:eastAsia="標楷體" w:hAnsi="Book Antiqua"/>
                <w:kern w:val="2"/>
                <w:szCs w:val="24"/>
              </w:rPr>
            </w:pPr>
            <w:r w:rsidRPr="007E73EC">
              <w:rPr>
                <w:rFonts w:ascii="Book Antiqua" w:eastAsia="標楷體" w:hAnsi="Book Antiqua" w:hint="eastAsia"/>
                <w:kern w:val="2"/>
                <w:szCs w:val="24"/>
              </w:rPr>
              <w:t>2</w:t>
            </w:r>
            <w:r w:rsidRPr="007E73EC">
              <w:rPr>
                <w:rFonts w:ascii="Book Antiqua" w:eastAsia="標楷體" w:hAnsi="Book Antiqua" w:hint="eastAsia"/>
                <w:kern w:val="2"/>
                <w:szCs w:val="24"/>
              </w:rPr>
              <w:t>、智力測</w:t>
            </w:r>
            <w:r w:rsidRPr="000E2A1B">
              <w:rPr>
                <w:rFonts w:ascii="Book Antiqua" w:eastAsia="標楷體" w:hAnsi="Book Antiqua" w:hint="eastAsia"/>
                <w:kern w:val="2"/>
                <w:szCs w:val="24"/>
              </w:rPr>
              <w:t>驗或綜合性向測驗得分達平均數正二個標準差或百分等級九十七以上。</w:t>
            </w:r>
          </w:p>
          <w:p w:rsidR="009324F8" w:rsidRPr="005A4A9E" w:rsidRDefault="009324F8" w:rsidP="00F36E7D">
            <w:pPr>
              <w:snapToGrid w:val="0"/>
              <w:spacing w:line="240" w:lineRule="atLeast"/>
              <w:jc w:val="both"/>
              <w:rPr>
                <w:rFonts w:ascii="Book Antiqua" w:eastAsia="標楷體" w:hAnsi="Book Antiqua"/>
                <w:kern w:val="2"/>
                <w:szCs w:val="24"/>
              </w:rPr>
            </w:pPr>
            <w:r w:rsidRPr="000E2A1B">
              <w:rPr>
                <w:rFonts w:ascii="Book Antiqua" w:eastAsia="標楷體" w:hAnsi="Book Antiqua" w:hint="eastAsia"/>
                <w:kern w:val="2"/>
                <w:szCs w:val="24"/>
              </w:rPr>
              <w:t>3</w:t>
            </w:r>
            <w:r w:rsidRPr="000E2A1B">
              <w:rPr>
                <w:rFonts w:ascii="Book Antiqua" w:eastAsia="標楷體" w:hAnsi="Book Antiqua" w:hint="eastAsia"/>
                <w:kern w:val="2"/>
                <w:szCs w:val="24"/>
              </w:rPr>
              <w:t>、社會適應行為評量宜與適齡學生相當，由相關教師或專業人員</w:t>
            </w:r>
            <w:r w:rsidRPr="000E2A1B">
              <w:rPr>
                <w:rFonts w:ascii="Book Antiqua" w:eastAsia="標楷體" w:hAnsi="Book Antiqua" w:hint="eastAsia"/>
                <w:kern w:val="2"/>
                <w:szCs w:val="24"/>
              </w:rPr>
              <w:t>(</w:t>
            </w:r>
            <w:r w:rsidRPr="000E2A1B">
              <w:rPr>
                <w:rFonts w:ascii="Book Antiqua" w:eastAsia="標楷體" w:hAnsi="Book Antiqua" w:hint="eastAsia"/>
                <w:kern w:val="2"/>
                <w:szCs w:val="24"/>
              </w:rPr>
              <w:t>至少兩位）提出證明。</w:t>
            </w:r>
          </w:p>
        </w:tc>
      </w:tr>
      <w:tr w:rsidR="00DC5F59" w:rsidTr="0076465B">
        <w:trPr>
          <w:jc w:val="center"/>
        </w:trPr>
        <w:tc>
          <w:tcPr>
            <w:tcW w:w="704" w:type="dxa"/>
          </w:tcPr>
          <w:p w:rsidR="00DC5F59" w:rsidRPr="00137C12" w:rsidRDefault="00DC5F59" w:rsidP="001A2ED5">
            <w:pPr>
              <w:snapToGrid w:val="0"/>
              <w:spacing w:line="240" w:lineRule="atLeast"/>
              <w:jc w:val="both"/>
              <w:rPr>
                <w:rFonts w:ascii="Book Antiqua" w:eastAsia="標楷體" w:hAnsi="Book Antiqua"/>
                <w:b/>
                <w:kern w:val="2"/>
                <w:szCs w:val="24"/>
              </w:rPr>
            </w:pPr>
            <w:r>
              <w:rPr>
                <w:rFonts w:ascii="Book Antiqua" w:eastAsia="標楷體" w:hAnsi="Book Antiqua" w:hint="eastAsia"/>
                <w:b/>
                <w:kern w:val="2"/>
                <w:szCs w:val="24"/>
              </w:rPr>
              <w:t>備註</w:t>
            </w:r>
          </w:p>
        </w:tc>
        <w:tc>
          <w:tcPr>
            <w:tcW w:w="9497" w:type="dxa"/>
            <w:gridSpan w:val="6"/>
          </w:tcPr>
          <w:p w:rsidR="00DC5F59" w:rsidRPr="00E50FF0" w:rsidRDefault="00E41CDD" w:rsidP="00E41CDD">
            <w:pPr>
              <w:snapToGrid w:val="0"/>
              <w:spacing w:line="240" w:lineRule="atLeast"/>
              <w:jc w:val="both"/>
              <w:rPr>
                <w:rFonts w:ascii="Book Antiqua" w:eastAsia="標楷體" w:hAnsi="Book Antiqua"/>
                <w:kern w:val="2"/>
                <w:szCs w:val="24"/>
              </w:rPr>
            </w:pPr>
            <w:r>
              <w:rPr>
                <w:rFonts w:ascii="Book Antiqua" w:eastAsia="標楷體" w:hAnsi="Book Antiqua" w:hint="eastAsia"/>
                <w:kern w:val="2"/>
                <w:szCs w:val="24"/>
              </w:rPr>
              <w:t>未具資賦優異資格者，須先符合申請</w:t>
            </w:r>
            <w:r w:rsidRPr="00E41CDD">
              <w:rPr>
                <w:rFonts w:ascii="Book Antiqua" w:eastAsia="標楷體" w:hAnsi="Book Antiqua" w:hint="eastAsia"/>
                <w:kern w:val="2"/>
                <w:szCs w:val="24"/>
              </w:rPr>
              <w:t>資格後</w:t>
            </w:r>
            <w:r>
              <w:rPr>
                <w:rFonts w:ascii="Book Antiqua" w:eastAsia="標楷體" w:hAnsi="Book Antiqua" w:hint="eastAsia"/>
                <w:kern w:val="2"/>
                <w:szCs w:val="24"/>
              </w:rPr>
              <w:t>，另</w:t>
            </w:r>
            <w:r w:rsidR="00DC5F59" w:rsidRPr="00B512E9">
              <w:rPr>
                <w:rFonts w:ascii="Book Antiqua" w:eastAsia="標楷體" w:hAnsi="Book Antiqua" w:hint="eastAsia"/>
                <w:kern w:val="2"/>
                <w:szCs w:val="24"/>
              </w:rPr>
              <w:t>申請通過本市特殊教育學生鑑定及就學輔導會鑑定。</w:t>
            </w:r>
            <w:r w:rsidR="002117BA">
              <w:rPr>
                <w:rFonts w:ascii="Book Antiqua" w:eastAsia="標楷體" w:hAnsi="Book Antiqua" w:hint="eastAsia"/>
                <w:kern w:val="2"/>
                <w:szCs w:val="24"/>
              </w:rPr>
              <w:t>學生</w:t>
            </w:r>
            <w:r w:rsidR="00DC5F59">
              <w:rPr>
                <w:rFonts w:ascii="Book Antiqua" w:eastAsia="標楷體" w:hAnsi="Book Antiqua" w:hint="eastAsia"/>
                <w:kern w:val="2"/>
                <w:szCs w:val="24"/>
              </w:rPr>
              <w:t>經本</w:t>
            </w:r>
            <w:r w:rsidR="002117BA">
              <w:rPr>
                <w:rFonts w:ascii="Book Antiqua" w:eastAsia="標楷體" w:hAnsi="Book Antiqua" w:hint="eastAsia"/>
                <w:kern w:val="2"/>
                <w:szCs w:val="24"/>
              </w:rPr>
              <w:t>市</w:t>
            </w:r>
            <w:r w:rsidR="002117BA" w:rsidRPr="002117BA">
              <w:rPr>
                <w:rFonts w:ascii="Book Antiqua" w:eastAsia="標楷體" w:hAnsi="Book Antiqua" w:hint="eastAsia"/>
                <w:kern w:val="2"/>
                <w:szCs w:val="24"/>
              </w:rPr>
              <w:t>高級中等以下學校資賦優異學生縮短修業年限實施</w:t>
            </w:r>
            <w:r w:rsidR="00DC5F59">
              <w:rPr>
                <w:rFonts w:ascii="Book Antiqua" w:eastAsia="標楷體" w:hAnsi="Book Antiqua" w:hint="eastAsia"/>
                <w:kern w:val="2"/>
                <w:szCs w:val="24"/>
              </w:rPr>
              <w:t>要點通過申請</w:t>
            </w:r>
            <w:r w:rsidR="00DC5F59" w:rsidRPr="005A4A9E">
              <w:rPr>
                <w:rFonts w:ascii="Book Antiqua" w:eastAsia="標楷體" w:hAnsi="Book Antiqua" w:hint="eastAsia"/>
                <w:kern w:val="2"/>
                <w:szCs w:val="24"/>
              </w:rPr>
              <w:t>縮短修業年限</w:t>
            </w:r>
            <w:r w:rsidR="00DC5F59">
              <w:rPr>
                <w:rFonts w:ascii="Book Antiqua" w:eastAsia="標楷體" w:hAnsi="Book Antiqua" w:hint="eastAsia"/>
                <w:kern w:val="2"/>
                <w:szCs w:val="24"/>
              </w:rPr>
              <w:t>項目後，僅提供縮短修業年限服務，其他資優教育服務需依各教育階段各類資優學生鑑定方式辦理。</w:t>
            </w:r>
          </w:p>
        </w:tc>
      </w:tr>
    </w:tbl>
    <w:p w:rsidR="009324F8" w:rsidRPr="00DC5F59" w:rsidRDefault="009324F8" w:rsidP="00137C12">
      <w:pPr>
        <w:snapToGrid w:val="0"/>
        <w:spacing w:line="240" w:lineRule="atLeast"/>
        <w:ind w:left="561" w:hanging="845"/>
        <w:jc w:val="center"/>
        <w:rPr>
          <w:rFonts w:ascii="Book Antiqua" w:eastAsia="標楷體" w:hAnsi="Book Antiqua"/>
          <w:b/>
          <w:kern w:val="2"/>
          <w:sz w:val="28"/>
        </w:rPr>
      </w:pPr>
    </w:p>
    <w:sectPr w:rsidR="009324F8" w:rsidRPr="00DC5F59" w:rsidSect="00137C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EAB" w:rsidRDefault="00C30EAB" w:rsidP="008E3AD5">
      <w:r>
        <w:separator/>
      </w:r>
    </w:p>
  </w:endnote>
  <w:endnote w:type="continuationSeparator" w:id="0">
    <w:p w:rsidR="00C30EAB" w:rsidRDefault="00C30EAB" w:rsidP="008E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EAB" w:rsidRDefault="00C30EAB" w:rsidP="008E3AD5">
      <w:r>
        <w:separator/>
      </w:r>
    </w:p>
  </w:footnote>
  <w:footnote w:type="continuationSeparator" w:id="0">
    <w:p w:rsidR="00C30EAB" w:rsidRDefault="00C30EAB" w:rsidP="008E3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1A6"/>
    <w:multiLevelType w:val="hybridMultilevel"/>
    <w:tmpl w:val="8C52C49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7860B3E"/>
    <w:multiLevelType w:val="hybridMultilevel"/>
    <w:tmpl w:val="D766F2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121EBA"/>
    <w:multiLevelType w:val="hybridMultilevel"/>
    <w:tmpl w:val="0B82C0D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12"/>
    <w:rsid w:val="00012EF9"/>
    <w:rsid w:val="0004751C"/>
    <w:rsid w:val="00062368"/>
    <w:rsid w:val="000B2478"/>
    <w:rsid w:val="000E1682"/>
    <w:rsid w:val="000E2A1B"/>
    <w:rsid w:val="00137C12"/>
    <w:rsid w:val="001915B2"/>
    <w:rsid w:val="002117BA"/>
    <w:rsid w:val="002663F7"/>
    <w:rsid w:val="002773FE"/>
    <w:rsid w:val="00302862"/>
    <w:rsid w:val="00315E0D"/>
    <w:rsid w:val="003304AF"/>
    <w:rsid w:val="0035582D"/>
    <w:rsid w:val="003A5D4A"/>
    <w:rsid w:val="00430BF8"/>
    <w:rsid w:val="00434AA6"/>
    <w:rsid w:val="004A7450"/>
    <w:rsid w:val="004E77B5"/>
    <w:rsid w:val="00527208"/>
    <w:rsid w:val="0055242E"/>
    <w:rsid w:val="00564BA1"/>
    <w:rsid w:val="00567EAE"/>
    <w:rsid w:val="005837E5"/>
    <w:rsid w:val="005908CA"/>
    <w:rsid w:val="005A4A9E"/>
    <w:rsid w:val="005F19A6"/>
    <w:rsid w:val="0063269A"/>
    <w:rsid w:val="006638E2"/>
    <w:rsid w:val="00680A23"/>
    <w:rsid w:val="006A55DD"/>
    <w:rsid w:val="00700AAA"/>
    <w:rsid w:val="007576D3"/>
    <w:rsid w:val="0076465B"/>
    <w:rsid w:val="007E73EC"/>
    <w:rsid w:val="007F284E"/>
    <w:rsid w:val="00831A31"/>
    <w:rsid w:val="00857528"/>
    <w:rsid w:val="00857647"/>
    <w:rsid w:val="0088231B"/>
    <w:rsid w:val="00886C3A"/>
    <w:rsid w:val="008B080C"/>
    <w:rsid w:val="008C75B4"/>
    <w:rsid w:val="008E3AD5"/>
    <w:rsid w:val="008E7D47"/>
    <w:rsid w:val="00916871"/>
    <w:rsid w:val="009324F8"/>
    <w:rsid w:val="009667A5"/>
    <w:rsid w:val="00972377"/>
    <w:rsid w:val="009827C9"/>
    <w:rsid w:val="00996DC5"/>
    <w:rsid w:val="00A412CC"/>
    <w:rsid w:val="00A418B2"/>
    <w:rsid w:val="00A531A8"/>
    <w:rsid w:val="00A777C1"/>
    <w:rsid w:val="00AA2230"/>
    <w:rsid w:val="00AD6B6E"/>
    <w:rsid w:val="00AF7196"/>
    <w:rsid w:val="00B512E9"/>
    <w:rsid w:val="00B7452E"/>
    <w:rsid w:val="00C21BDA"/>
    <w:rsid w:val="00C30E95"/>
    <w:rsid w:val="00C30EAB"/>
    <w:rsid w:val="00C32C97"/>
    <w:rsid w:val="00C62066"/>
    <w:rsid w:val="00C94511"/>
    <w:rsid w:val="00D45F67"/>
    <w:rsid w:val="00D515D4"/>
    <w:rsid w:val="00D530CB"/>
    <w:rsid w:val="00D60C73"/>
    <w:rsid w:val="00D74FE7"/>
    <w:rsid w:val="00DC5F59"/>
    <w:rsid w:val="00DE6234"/>
    <w:rsid w:val="00E3546E"/>
    <w:rsid w:val="00E41CDD"/>
    <w:rsid w:val="00E50FF0"/>
    <w:rsid w:val="00E51FCB"/>
    <w:rsid w:val="00EE108A"/>
    <w:rsid w:val="00EF0113"/>
    <w:rsid w:val="00F00B03"/>
    <w:rsid w:val="00F77B42"/>
    <w:rsid w:val="00F864EB"/>
    <w:rsid w:val="00F96B8B"/>
    <w:rsid w:val="00FE1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77AA0-8D8B-4C39-B4FE-A2E9813A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AAA"/>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AD5"/>
    <w:pPr>
      <w:tabs>
        <w:tab w:val="center" w:pos="4153"/>
        <w:tab w:val="right" w:pos="8306"/>
      </w:tabs>
      <w:snapToGrid w:val="0"/>
    </w:pPr>
    <w:rPr>
      <w:sz w:val="20"/>
    </w:rPr>
  </w:style>
  <w:style w:type="character" w:customStyle="1" w:styleId="a5">
    <w:name w:val="頁首 字元"/>
    <w:basedOn w:val="a0"/>
    <w:link w:val="a4"/>
    <w:uiPriority w:val="99"/>
    <w:rsid w:val="008E3AD5"/>
    <w:rPr>
      <w:rFonts w:ascii="Times New Roman" w:eastAsia="新細明體" w:hAnsi="Times New Roman" w:cs="Times New Roman"/>
      <w:kern w:val="3"/>
      <w:sz w:val="20"/>
      <w:szCs w:val="20"/>
    </w:rPr>
  </w:style>
  <w:style w:type="paragraph" w:styleId="a6">
    <w:name w:val="footer"/>
    <w:basedOn w:val="a"/>
    <w:link w:val="a7"/>
    <w:uiPriority w:val="99"/>
    <w:unhideWhenUsed/>
    <w:rsid w:val="008E3AD5"/>
    <w:pPr>
      <w:tabs>
        <w:tab w:val="center" w:pos="4153"/>
        <w:tab w:val="right" w:pos="8306"/>
      </w:tabs>
      <w:snapToGrid w:val="0"/>
    </w:pPr>
    <w:rPr>
      <w:sz w:val="20"/>
    </w:rPr>
  </w:style>
  <w:style w:type="character" w:customStyle="1" w:styleId="a7">
    <w:name w:val="頁尾 字元"/>
    <w:basedOn w:val="a0"/>
    <w:link w:val="a6"/>
    <w:uiPriority w:val="99"/>
    <w:rsid w:val="008E3AD5"/>
    <w:rPr>
      <w:rFonts w:ascii="Times New Roman" w:eastAsia="新細明體" w:hAnsi="Times New Roman" w:cs="Times New Roman"/>
      <w:kern w:val="3"/>
      <w:sz w:val="20"/>
      <w:szCs w:val="20"/>
    </w:rPr>
  </w:style>
  <w:style w:type="paragraph" w:styleId="a8">
    <w:name w:val="Balloon Text"/>
    <w:basedOn w:val="a"/>
    <w:link w:val="a9"/>
    <w:uiPriority w:val="99"/>
    <w:semiHidden/>
    <w:unhideWhenUsed/>
    <w:rsid w:val="000623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2368"/>
    <w:rPr>
      <w:rFonts w:asciiTheme="majorHAnsi" w:eastAsiaTheme="majorEastAsia" w:hAnsiTheme="majorHAnsi" w:cstheme="majorBidi"/>
      <w:kern w:val="3"/>
      <w:sz w:val="18"/>
      <w:szCs w:val="18"/>
    </w:rPr>
  </w:style>
  <w:style w:type="paragraph" w:styleId="aa">
    <w:name w:val="List Paragraph"/>
    <w:basedOn w:val="a"/>
    <w:uiPriority w:val="34"/>
    <w:qFormat/>
    <w:rsid w:val="000E2A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林曉彤</dc:creator>
  <cp:keywords/>
  <dc:description/>
  <cp:lastModifiedBy>Windows 使用者</cp:lastModifiedBy>
  <cp:revision>2</cp:revision>
  <cp:lastPrinted>2021-05-31T04:11:00Z</cp:lastPrinted>
  <dcterms:created xsi:type="dcterms:W3CDTF">2021-09-06T03:06:00Z</dcterms:created>
  <dcterms:modified xsi:type="dcterms:W3CDTF">2021-09-06T03:06:00Z</dcterms:modified>
</cp:coreProperties>
</file>