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A2F9D" w14:textId="77777777" w:rsidR="00F2673A" w:rsidRPr="00E9615D" w:rsidRDefault="00F2673A" w:rsidP="00F2673A">
      <w:pPr>
        <w:jc w:val="center"/>
        <w:rPr>
          <w:rFonts w:ascii="標楷體" w:eastAsia="標楷體" w:hAnsi="標楷體"/>
          <w:szCs w:val="24"/>
        </w:rPr>
      </w:pPr>
      <w:bookmarkStart w:id="0" w:name="_GoBack"/>
      <w:bookmarkEnd w:id="0"/>
      <w:r w:rsidRPr="00396B07">
        <w:rPr>
          <w:rFonts w:ascii="標楷體" w:eastAsia="標楷體" w:hAnsi="標楷體" w:hint="eastAsia"/>
          <w:b/>
          <w:bCs/>
          <w:noProof/>
          <w:sz w:val="28"/>
          <w:szCs w:val="28"/>
          <w:lang w:val="zh-TW"/>
        </w:rPr>
        <mc:AlternateContent>
          <mc:Choice Requires="wps">
            <w:drawing>
              <wp:anchor distT="0" distB="0" distL="114300" distR="114300" simplePos="0" relativeHeight="251660288" behindDoc="0" locked="0" layoutInCell="1" allowOverlap="1" wp14:anchorId="40E27589" wp14:editId="4AC3DEB6">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E3E1A" w14:textId="77777777"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27589"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14:paraId="401E3E1A" w14:textId="77777777"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w:t>
      </w:r>
      <w:proofErr w:type="gramStart"/>
      <w:r w:rsidRPr="009F756E">
        <w:rPr>
          <w:rFonts w:ascii="標楷體" w:eastAsia="標楷體" w:hAnsi="標楷體"/>
          <w:szCs w:val="24"/>
        </w:rPr>
        <w:t>11</w:t>
      </w:r>
      <w:r>
        <w:rPr>
          <w:rFonts w:ascii="標楷體" w:eastAsia="標楷體" w:hAnsi="標楷體" w:hint="eastAsia"/>
          <w:szCs w:val="24"/>
        </w:rPr>
        <w:t>4</w:t>
      </w:r>
      <w:proofErr w:type="gramEnd"/>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14:paraId="3601833C" w14:textId="54CE38C6" w:rsidR="00F2673A" w:rsidRPr="00194905" w:rsidRDefault="00F2673A"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分區座談會</w:t>
      </w:r>
      <w:r w:rsidRPr="00194905">
        <w:rPr>
          <w:rFonts w:ascii="標楷體" w:eastAsia="標楷體" w:hAnsi="標楷體" w:cs="Times New Roman" w:hint="eastAsia"/>
          <w:b/>
          <w:sz w:val="32"/>
          <w:szCs w:val="32"/>
        </w:rPr>
        <w:t>課程表</w:t>
      </w:r>
    </w:p>
    <w:tbl>
      <w:tblPr>
        <w:tblStyle w:val="a3"/>
        <w:tblW w:w="10282" w:type="dxa"/>
        <w:tblInd w:w="-856" w:type="dxa"/>
        <w:tblLook w:val="04A0" w:firstRow="1" w:lastRow="0" w:firstColumn="1" w:lastColumn="0" w:noHBand="0" w:noVBand="1"/>
      </w:tblPr>
      <w:tblGrid>
        <w:gridCol w:w="689"/>
        <w:gridCol w:w="1923"/>
        <w:gridCol w:w="2611"/>
        <w:gridCol w:w="5059"/>
      </w:tblGrid>
      <w:tr w:rsidR="003116FB" w:rsidRPr="00E9615D" w14:paraId="36EC46F5" w14:textId="77777777" w:rsidTr="003116FB">
        <w:trPr>
          <w:trHeight w:val="952"/>
        </w:trPr>
        <w:tc>
          <w:tcPr>
            <w:tcW w:w="2612" w:type="dxa"/>
            <w:gridSpan w:val="2"/>
          </w:tcPr>
          <w:p w14:paraId="73146F88" w14:textId="77777777" w:rsidR="003116FB" w:rsidRDefault="003116FB"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62336" behindDoc="0" locked="0" layoutInCell="1" allowOverlap="1" wp14:anchorId="5743D311" wp14:editId="6005230B">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468667"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14:paraId="7207B355" w14:textId="77777777" w:rsidR="003116FB" w:rsidRPr="00E9615D" w:rsidRDefault="003116FB" w:rsidP="0037670A">
            <w:pPr>
              <w:rPr>
                <w:rFonts w:ascii="標楷體" w:eastAsia="標楷體" w:hAnsi="標楷體"/>
                <w:b/>
                <w:szCs w:val="24"/>
              </w:rPr>
            </w:pPr>
            <w:r w:rsidRPr="00E9615D">
              <w:rPr>
                <w:rFonts w:ascii="標楷體" w:eastAsia="標楷體" w:hAnsi="標楷體" w:hint="eastAsia"/>
                <w:b/>
                <w:szCs w:val="24"/>
              </w:rPr>
              <w:t>次數/時間</w:t>
            </w:r>
          </w:p>
        </w:tc>
        <w:tc>
          <w:tcPr>
            <w:tcW w:w="2611" w:type="dxa"/>
            <w:vAlign w:val="center"/>
          </w:tcPr>
          <w:p w14:paraId="2C77B8B2"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14:paraId="07F53F09"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w:t>
            </w:r>
            <w:proofErr w:type="gramStart"/>
            <w:r w:rsidRPr="00E9615D">
              <w:rPr>
                <w:rFonts w:ascii="標楷體" w:eastAsia="標楷體" w:hAnsi="標楷體" w:hint="eastAsia"/>
                <w:b/>
                <w:bCs/>
                <w:szCs w:val="24"/>
              </w:rPr>
              <w:t>國中小各校</w:t>
            </w:r>
            <w:proofErr w:type="gramEnd"/>
          </w:p>
        </w:tc>
        <w:tc>
          <w:tcPr>
            <w:tcW w:w="5059" w:type="dxa"/>
            <w:vAlign w:val="center"/>
          </w:tcPr>
          <w:p w14:paraId="668002DA" w14:textId="77777777" w:rsidR="003116FB" w:rsidRPr="00E9615D" w:rsidRDefault="003116FB"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r>
      <w:tr w:rsidR="003116FB" w:rsidRPr="00E9615D" w14:paraId="5BF5544B" w14:textId="77777777" w:rsidTr="003116FB">
        <w:trPr>
          <w:trHeight w:val="1075"/>
        </w:trPr>
        <w:tc>
          <w:tcPr>
            <w:tcW w:w="689" w:type="dxa"/>
          </w:tcPr>
          <w:p w14:paraId="216B060A"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1</w:t>
            </w:r>
          </w:p>
        </w:tc>
        <w:tc>
          <w:tcPr>
            <w:tcW w:w="1922" w:type="dxa"/>
          </w:tcPr>
          <w:p w14:paraId="468BD1F9" w14:textId="77777777" w:rsidR="003116FB" w:rsidRPr="00E9615D" w:rsidRDefault="003116FB"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611" w:type="dxa"/>
          </w:tcPr>
          <w:p w14:paraId="78880876"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(國、高中職</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15B99A12"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0C585A1E"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3485DF81"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r w:rsidR="003116FB" w:rsidRPr="00E9615D" w14:paraId="3C46AE73" w14:textId="77777777" w:rsidTr="003116FB">
        <w:trPr>
          <w:trHeight w:val="1093"/>
        </w:trPr>
        <w:tc>
          <w:tcPr>
            <w:tcW w:w="689" w:type="dxa"/>
          </w:tcPr>
          <w:p w14:paraId="6DAFB216"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2</w:t>
            </w:r>
          </w:p>
        </w:tc>
        <w:tc>
          <w:tcPr>
            <w:tcW w:w="1922" w:type="dxa"/>
          </w:tcPr>
          <w:p w14:paraId="7C0F8BA7" w14:textId="77777777" w:rsidR="003116FB" w:rsidRPr="00E9615D" w:rsidRDefault="003116FB" w:rsidP="0037670A">
            <w:pPr>
              <w:rPr>
                <w:rFonts w:ascii="標楷體" w:eastAsia="標楷體" w:hAnsi="標楷體"/>
                <w:color w:val="00B050"/>
                <w:szCs w:val="24"/>
              </w:rPr>
            </w:pPr>
            <w:r>
              <w:rPr>
                <w:rFonts w:ascii="標楷體" w:eastAsia="標楷體" w:hAnsi="標楷體" w:hint="eastAsia"/>
                <w:szCs w:val="24"/>
              </w:rPr>
              <w:t>13</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5</w:t>
            </w:r>
            <w:r w:rsidRPr="00E9615D">
              <w:rPr>
                <w:rFonts w:ascii="標楷體" w:eastAsia="標楷體" w:hAnsi="標楷體"/>
                <w:szCs w:val="24"/>
              </w:rPr>
              <w:t>:</w:t>
            </w:r>
            <w:r>
              <w:rPr>
                <w:rFonts w:ascii="標楷體" w:eastAsia="標楷體" w:hAnsi="標楷體" w:hint="eastAsia"/>
                <w:szCs w:val="24"/>
              </w:rPr>
              <w:t>3</w:t>
            </w:r>
            <w:r w:rsidRPr="00E9615D">
              <w:rPr>
                <w:rFonts w:ascii="標楷體" w:eastAsia="標楷體" w:hAnsi="標楷體" w:hint="eastAsia"/>
                <w:szCs w:val="24"/>
              </w:rPr>
              <w:t>0</w:t>
            </w:r>
          </w:p>
        </w:tc>
        <w:tc>
          <w:tcPr>
            <w:tcW w:w="2611" w:type="dxa"/>
          </w:tcPr>
          <w:p w14:paraId="330075D5"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(國小</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33B53CEE"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4AEF340D"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55ACBC66"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bl>
    <w:p w14:paraId="7E9F508F" w14:textId="77777777" w:rsidR="00F2673A" w:rsidRDefault="00F2673A" w:rsidP="00F2673A">
      <w:pPr>
        <w:widowControl/>
        <w:rPr>
          <w:rFonts w:ascii="Times New Roman" w:eastAsia="標楷體" w:hAnsi="Times New Roman" w:cs="Times New Roman"/>
        </w:rPr>
      </w:pPr>
    </w:p>
    <w:sectPr w:rsidR="00F26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A"/>
    <w:rsid w:val="00014FC0"/>
    <w:rsid w:val="000F2285"/>
    <w:rsid w:val="003116FB"/>
    <w:rsid w:val="00522F91"/>
    <w:rsid w:val="005817B8"/>
    <w:rsid w:val="00B73F25"/>
    <w:rsid w:val="00E0707E"/>
    <w:rsid w:val="00EA1390"/>
    <w:rsid w:val="00F2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833"/>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User</cp:lastModifiedBy>
  <cp:revision>2</cp:revision>
  <dcterms:created xsi:type="dcterms:W3CDTF">2025-09-03T01:00:00Z</dcterms:created>
  <dcterms:modified xsi:type="dcterms:W3CDTF">2025-09-03T01:00:00Z</dcterms:modified>
</cp:coreProperties>
</file>